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27EE7" w14:textId="5212337B" w:rsidR="001C7297" w:rsidRPr="00082B0A" w:rsidRDefault="00082B0A">
      <w:pPr>
        <w:rPr>
          <w:sz w:val="28"/>
          <w:szCs w:val="28"/>
        </w:rPr>
      </w:pPr>
      <w:r w:rsidRPr="00082B0A">
        <w:rPr>
          <w:sz w:val="28"/>
          <w:szCs w:val="28"/>
        </w:rPr>
        <w:t xml:space="preserve">Commercial Acoustics </w:t>
      </w:r>
      <w:r w:rsidR="002B0002">
        <w:rPr>
          <w:sz w:val="28"/>
          <w:szCs w:val="28"/>
        </w:rPr>
        <w:t>Floor</w:t>
      </w:r>
      <w:r w:rsidRPr="00082B0A">
        <w:rPr>
          <w:sz w:val="28"/>
          <w:szCs w:val="28"/>
        </w:rPr>
        <w:t xml:space="preserve"> </w:t>
      </w:r>
      <w:proofErr w:type="spellStart"/>
      <w:r w:rsidRPr="00082B0A">
        <w:rPr>
          <w:sz w:val="28"/>
          <w:szCs w:val="28"/>
        </w:rPr>
        <w:t>Blokker</w:t>
      </w:r>
      <w:proofErr w:type="spellEnd"/>
      <w:r w:rsidRPr="00082B0A">
        <w:rPr>
          <w:sz w:val="28"/>
          <w:szCs w:val="28"/>
        </w:rPr>
        <w:t xml:space="preserve"> Specification</w:t>
      </w:r>
    </w:p>
    <w:p w14:paraId="3C642712" w14:textId="2FBE072A" w:rsidR="00082B0A" w:rsidRPr="00082B0A" w:rsidRDefault="00082B0A" w:rsidP="00082B0A">
      <w:pPr>
        <w:spacing w:after="0" w:line="240" w:lineRule="auto"/>
        <w:rPr>
          <w:b/>
        </w:rPr>
      </w:pPr>
      <w:r w:rsidRPr="00082B0A">
        <w:rPr>
          <w:b/>
        </w:rPr>
        <w:t>Division 09 – Finishes</w:t>
      </w:r>
    </w:p>
    <w:p w14:paraId="7EA6033C" w14:textId="3CBED6C6" w:rsidR="00082B0A" w:rsidRDefault="00082B0A" w:rsidP="00082B0A">
      <w:pPr>
        <w:spacing w:after="0" w:line="240" w:lineRule="auto"/>
      </w:pPr>
      <w:r w:rsidRPr="00082B0A">
        <w:rPr>
          <w:b/>
        </w:rPr>
        <w:t>Section 09500 – Acoustical Treatment</w:t>
      </w:r>
      <w:r>
        <w:t xml:space="preserve"> </w:t>
      </w:r>
    </w:p>
    <w:p w14:paraId="00422C3F" w14:textId="36331335" w:rsidR="00082B0A" w:rsidRDefault="00082B0A"/>
    <w:p w14:paraId="6074B550" w14:textId="3AEA3E31" w:rsidR="00082B0A" w:rsidRDefault="00082B0A">
      <w:r>
        <w:t>PART 1 – GENERAL</w:t>
      </w:r>
    </w:p>
    <w:p w14:paraId="4C0DF4AA" w14:textId="07798A4A" w:rsidR="00082B0A" w:rsidRDefault="00082B0A" w:rsidP="00A44C8F">
      <w:pPr>
        <w:pStyle w:val="ListParagraph"/>
        <w:numPr>
          <w:ilvl w:val="1"/>
          <w:numId w:val="1"/>
        </w:numPr>
        <w:spacing w:after="0" w:line="240" w:lineRule="auto"/>
      </w:pPr>
      <w:r>
        <w:t>SUMMARY</w:t>
      </w:r>
    </w:p>
    <w:p w14:paraId="18978297" w14:textId="30B2F8BC" w:rsidR="00082B0A" w:rsidRDefault="00DB0305" w:rsidP="00A44C8F">
      <w:pPr>
        <w:pStyle w:val="ListParagraph"/>
        <w:numPr>
          <w:ilvl w:val="0"/>
          <w:numId w:val="2"/>
        </w:numPr>
        <w:spacing w:after="0" w:line="240" w:lineRule="auto"/>
      </w:pPr>
      <w:r>
        <w:t>Section includes:</w:t>
      </w:r>
    </w:p>
    <w:p w14:paraId="5CFD1239" w14:textId="714CB893" w:rsidR="00DB0305" w:rsidRDefault="00DB0305" w:rsidP="00DB0305">
      <w:pPr>
        <w:pStyle w:val="ListParagraph"/>
        <w:numPr>
          <w:ilvl w:val="0"/>
          <w:numId w:val="3"/>
        </w:numPr>
      </w:pPr>
      <w:r>
        <w:t xml:space="preserve">Floor </w:t>
      </w:r>
      <w:proofErr w:type="spellStart"/>
      <w:r>
        <w:t>Blokker</w:t>
      </w:r>
      <w:proofErr w:type="spellEnd"/>
      <w:r>
        <w:t xml:space="preserve"> by Commercial Acoustics resilient flooring underlayment.</w:t>
      </w:r>
    </w:p>
    <w:p w14:paraId="2751E54D" w14:textId="5A5A2C95" w:rsidR="00DB0305" w:rsidRDefault="00DB0305" w:rsidP="00A44C8F">
      <w:pPr>
        <w:spacing w:after="0" w:line="240" w:lineRule="auto"/>
      </w:pPr>
      <w:r>
        <w:t xml:space="preserve">1.2 </w:t>
      </w:r>
      <w:r w:rsidR="00EB1BBD">
        <w:tab/>
        <w:t>RELATED DOCUMENTS</w:t>
      </w:r>
    </w:p>
    <w:p w14:paraId="506D3BBA" w14:textId="2BED3F55" w:rsidR="00EB1BBD" w:rsidRDefault="00EB1BBD" w:rsidP="00A44C8F">
      <w:pPr>
        <w:pStyle w:val="ListParagraph"/>
        <w:spacing w:after="0" w:line="240" w:lineRule="auto"/>
      </w:pPr>
      <w:r>
        <w:t xml:space="preserve">A.    Drawings and general provisions of the Contract including supplements and addendums.  </w:t>
      </w:r>
    </w:p>
    <w:p w14:paraId="47A35C7F" w14:textId="2DC88217" w:rsidR="00EB1BBD" w:rsidRDefault="00EB1BBD" w:rsidP="00EB1BBD">
      <w:pPr>
        <w:pStyle w:val="ListParagraph"/>
      </w:pPr>
      <w:r>
        <w:t xml:space="preserve">B.     Applicable Specification Sections: Division 01 – General and Division 09 – Finishes. </w:t>
      </w:r>
    </w:p>
    <w:p w14:paraId="46DFE3BF" w14:textId="6605ECE1" w:rsidR="008F6807" w:rsidRDefault="008F6807" w:rsidP="008F6807">
      <w:pPr>
        <w:spacing w:after="0" w:line="240" w:lineRule="auto"/>
      </w:pPr>
      <w:bookmarkStart w:id="0" w:name="_Hlk510794211"/>
      <w:r>
        <w:t>1.</w:t>
      </w:r>
      <w:r>
        <w:t>3</w:t>
      </w:r>
      <w:r>
        <w:tab/>
      </w:r>
      <w:r>
        <w:t>REFERENCES</w:t>
      </w:r>
    </w:p>
    <w:p w14:paraId="1631012A" w14:textId="20291A81" w:rsidR="008F6807" w:rsidRDefault="008F6807" w:rsidP="008F6807">
      <w:pPr>
        <w:pStyle w:val="ListParagraph"/>
        <w:numPr>
          <w:ilvl w:val="0"/>
          <w:numId w:val="5"/>
        </w:numPr>
        <w:spacing w:after="0" w:line="240" w:lineRule="auto"/>
      </w:pPr>
      <w:r>
        <w:t>International Building Code (IBC) 2012</w:t>
      </w:r>
      <w:r>
        <w:t>:</w:t>
      </w:r>
    </w:p>
    <w:bookmarkEnd w:id="0"/>
    <w:p w14:paraId="63EA978F" w14:textId="4C8047ED" w:rsidR="008F6807" w:rsidRDefault="008F6807" w:rsidP="008F6807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Section 1207 – </w:t>
      </w:r>
      <w:r w:rsidRPr="008A7DC9">
        <w:rPr>
          <w:i/>
        </w:rPr>
        <w:t>Sound Transmission</w:t>
      </w:r>
    </w:p>
    <w:p w14:paraId="70541BD2" w14:textId="08C1A94C" w:rsidR="008F6807" w:rsidRDefault="008F6807" w:rsidP="008F6807">
      <w:pPr>
        <w:pStyle w:val="ListParagraph"/>
        <w:numPr>
          <w:ilvl w:val="0"/>
          <w:numId w:val="5"/>
        </w:numPr>
        <w:spacing w:after="0" w:line="240" w:lineRule="auto"/>
      </w:pPr>
      <w:r>
        <w:t>ASTM Tests:</w:t>
      </w:r>
    </w:p>
    <w:p w14:paraId="088883BC" w14:textId="3E131115" w:rsidR="008F6807" w:rsidRPr="008A7DC9" w:rsidRDefault="008A7DC9" w:rsidP="008A7DC9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E492 – </w:t>
      </w:r>
      <w:r>
        <w:rPr>
          <w:i/>
        </w:rPr>
        <w:t>Standard Test Method for Laboratory Measurement of Impact Sound Transmission Through Floor-Ceiling Assemblies Using the Tapping Machine.</w:t>
      </w:r>
    </w:p>
    <w:p w14:paraId="4BC88F0F" w14:textId="7C832ABE" w:rsidR="008A7DC9" w:rsidRPr="008A7DC9" w:rsidRDefault="008A7DC9" w:rsidP="008A7DC9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E989 – </w:t>
      </w:r>
      <w:r>
        <w:rPr>
          <w:i/>
        </w:rPr>
        <w:t>Standard Classification for Determination of Impact Insulation Class (IIC).</w:t>
      </w:r>
    </w:p>
    <w:p w14:paraId="4F0BAC3D" w14:textId="0AA1F0EA" w:rsidR="008A7DC9" w:rsidRPr="008A7DC9" w:rsidRDefault="008A7DC9" w:rsidP="008A7DC9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E2179 – </w:t>
      </w:r>
      <w:r w:rsidRPr="008A7DC9">
        <w:rPr>
          <w:i/>
        </w:rPr>
        <w:t>Standard</w:t>
      </w:r>
      <w:r>
        <w:t xml:space="preserve"> </w:t>
      </w:r>
      <w:r>
        <w:rPr>
          <w:i/>
        </w:rPr>
        <w:t xml:space="preserve">Test Method for Laboratory Measurement of the Effectiveness of Floor Coverings in Reducing Impact Sound Transmission Through Concrete Floors. </w:t>
      </w:r>
    </w:p>
    <w:p w14:paraId="01A4008D" w14:textId="49FAD9F3" w:rsidR="008A7DC9" w:rsidRPr="008A7DC9" w:rsidRDefault="008A7DC9" w:rsidP="008A7DC9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E90 – </w:t>
      </w:r>
      <w:r>
        <w:rPr>
          <w:i/>
        </w:rPr>
        <w:t>Standard Test Method for Laboratory Measurement of Airborne Sound Transmission Loss of Building Partitions and Elements</w:t>
      </w:r>
      <w:r w:rsidR="00B14AFF">
        <w:rPr>
          <w:i/>
        </w:rPr>
        <w:t>.</w:t>
      </w:r>
    </w:p>
    <w:p w14:paraId="2F3C9BDE" w14:textId="37880B8E" w:rsidR="008A7DC9" w:rsidRDefault="008A7DC9" w:rsidP="008A7DC9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E413 – </w:t>
      </w:r>
      <w:r>
        <w:rPr>
          <w:i/>
        </w:rPr>
        <w:t>Classification for Rating Sound Insulation</w:t>
      </w:r>
      <w:r w:rsidR="00B14AFF">
        <w:rPr>
          <w:i/>
        </w:rPr>
        <w:t>.</w:t>
      </w:r>
    </w:p>
    <w:p w14:paraId="0C5EE0AA" w14:textId="79301CFA" w:rsidR="008F6807" w:rsidRDefault="008F6807" w:rsidP="00B14AFF">
      <w:pPr>
        <w:spacing w:after="0" w:line="240" w:lineRule="auto"/>
      </w:pPr>
      <w:r>
        <w:tab/>
      </w:r>
      <w:r>
        <w:tab/>
      </w:r>
      <w:r>
        <w:tab/>
      </w:r>
    </w:p>
    <w:p w14:paraId="1C8151E3" w14:textId="1E90F508" w:rsidR="00082B0A" w:rsidRDefault="00A44C8F" w:rsidP="00A44C8F">
      <w:pPr>
        <w:spacing w:after="0" w:line="240" w:lineRule="auto"/>
      </w:pPr>
      <w:r>
        <w:t>1.</w:t>
      </w:r>
      <w:r w:rsidR="008F6807">
        <w:t>4</w:t>
      </w:r>
      <w:r>
        <w:tab/>
        <w:t>SUBMITTALS</w:t>
      </w:r>
    </w:p>
    <w:p w14:paraId="0A3AF04E" w14:textId="77777777" w:rsidR="00A44C8F" w:rsidRDefault="00A44C8F" w:rsidP="00B14AFF">
      <w:pPr>
        <w:pStyle w:val="ListParagraph"/>
        <w:numPr>
          <w:ilvl w:val="0"/>
          <w:numId w:val="9"/>
        </w:numPr>
        <w:spacing w:after="0" w:line="240" w:lineRule="auto"/>
      </w:pPr>
      <w:r>
        <w:t>For each product indicated:</w:t>
      </w:r>
    </w:p>
    <w:p w14:paraId="3B03BFB4" w14:textId="5D5C4F8C" w:rsidR="00A44C8F" w:rsidRDefault="00A44C8F" w:rsidP="00A44C8F">
      <w:pPr>
        <w:pStyle w:val="ListParagraph"/>
        <w:numPr>
          <w:ilvl w:val="0"/>
          <w:numId w:val="6"/>
        </w:numPr>
        <w:spacing w:after="0" w:line="240" w:lineRule="auto"/>
      </w:pPr>
      <w:r>
        <w:t>Product Data</w:t>
      </w:r>
      <w:r w:rsidR="00A628C7">
        <w:t xml:space="preserve"> Sheet</w:t>
      </w:r>
      <w:r>
        <w:t>: manufacturer’s specifications</w:t>
      </w:r>
      <w:r w:rsidR="00A07432">
        <w:t xml:space="preserve"> including lab</w:t>
      </w:r>
      <w:r w:rsidR="00A628C7">
        <w:t>oratory</w:t>
      </w:r>
      <w:r w:rsidR="00A07432">
        <w:t xml:space="preserve"> test summary</w:t>
      </w:r>
      <w:r>
        <w:t>.</w:t>
      </w:r>
    </w:p>
    <w:p w14:paraId="34D7CB1E" w14:textId="44C55350" w:rsidR="00A44C8F" w:rsidRDefault="00A44C8F" w:rsidP="00A44C8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Installation Instructions: </w:t>
      </w:r>
      <w:r w:rsidR="00A07432">
        <w:t>detailed installation procedure including jobsite condition</w:t>
      </w:r>
      <w:r w:rsidR="00D104DF">
        <w:t xml:space="preserve"> requirements,</w:t>
      </w:r>
      <w:r w:rsidR="00A07432">
        <w:t xml:space="preserve"> surface preparation requirements</w:t>
      </w:r>
      <w:r w:rsidR="00D104DF">
        <w:t>, and approved products</w:t>
      </w:r>
      <w:r w:rsidR="00A07432">
        <w:t xml:space="preserve">.  </w:t>
      </w:r>
    </w:p>
    <w:p w14:paraId="3BF37501" w14:textId="77777777" w:rsidR="00B14AFF" w:rsidRDefault="00B14AFF" w:rsidP="00B14AFF">
      <w:pPr>
        <w:pStyle w:val="ListParagraph"/>
        <w:spacing w:after="0" w:line="240" w:lineRule="auto"/>
        <w:ind w:left="1440"/>
      </w:pPr>
    </w:p>
    <w:p w14:paraId="4B53391A" w14:textId="244C934E" w:rsidR="00B14AFF" w:rsidRDefault="00B14AFF" w:rsidP="00B14AFF">
      <w:pPr>
        <w:spacing w:after="0" w:line="240" w:lineRule="auto"/>
      </w:pPr>
      <w:r>
        <w:t>1.</w:t>
      </w:r>
      <w:r>
        <w:t>5</w:t>
      </w:r>
      <w:r>
        <w:tab/>
      </w:r>
      <w:r>
        <w:t>DELIVERY, STORAGE, AND HANDLING</w:t>
      </w:r>
    </w:p>
    <w:p w14:paraId="50A4CC3E" w14:textId="77777777" w:rsidR="00B14AFF" w:rsidRDefault="00B14AFF" w:rsidP="00B14AFF">
      <w:pPr>
        <w:pStyle w:val="ListParagraph"/>
        <w:numPr>
          <w:ilvl w:val="0"/>
          <w:numId w:val="10"/>
        </w:numPr>
        <w:spacing w:after="0" w:line="240" w:lineRule="auto"/>
      </w:pPr>
      <w:r>
        <w:t>All materials shall be delivered in original unopened packaging.</w:t>
      </w:r>
    </w:p>
    <w:p w14:paraId="20D05F67" w14:textId="77777777" w:rsidR="00B14AFF" w:rsidRDefault="00B14AFF" w:rsidP="00B14AFF">
      <w:pPr>
        <w:pStyle w:val="ListParagraph"/>
        <w:numPr>
          <w:ilvl w:val="0"/>
          <w:numId w:val="10"/>
        </w:numPr>
        <w:spacing w:after="0" w:line="240" w:lineRule="auto"/>
      </w:pPr>
      <w:r>
        <w:t>Materials to be stored in a dry environment at temperatures ranging from 0-110 degrees (F)</w:t>
      </w:r>
    </w:p>
    <w:p w14:paraId="37429A8E" w14:textId="2DD410DE" w:rsidR="00B14AFF" w:rsidRDefault="00B14AFF" w:rsidP="00B14AFF">
      <w:pPr>
        <w:pStyle w:val="ListParagraph"/>
        <w:numPr>
          <w:ilvl w:val="0"/>
          <w:numId w:val="11"/>
        </w:numPr>
        <w:spacing w:after="0" w:line="240" w:lineRule="auto"/>
      </w:pPr>
      <w:r>
        <w:t>Materials should be allowed to acclimate to environment prior to installation</w:t>
      </w:r>
      <w:r w:rsidR="00AD3755">
        <w:t xml:space="preserve"> in 60 degrees (F) or greater for 24 hours or more to reduce material stiffness when unrolling</w:t>
      </w:r>
      <w:bookmarkStart w:id="1" w:name="_GoBack"/>
      <w:bookmarkEnd w:id="1"/>
      <w:r>
        <w:t xml:space="preserve">. </w:t>
      </w:r>
    </w:p>
    <w:p w14:paraId="52C26B98" w14:textId="3964860D" w:rsidR="00B14AFF" w:rsidRDefault="00B14AFF" w:rsidP="00B14AFF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If material stiffens, it may be softened more rapidly using a heat gun.  </w:t>
      </w:r>
    </w:p>
    <w:p w14:paraId="6077728B" w14:textId="147FF98C" w:rsidR="00A628C7" w:rsidRDefault="00A628C7" w:rsidP="00A628C7">
      <w:pPr>
        <w:spacing w:after="0" w:line="240" w:lineRule="auto"/>
      </w:pPr>
    </w:p>
    <w:p w14:paraId="70169538" w14:textId="610386FB" w:rsidR="00A628C7" w:rsidRDefault="00A628C7" w:rsidP="00A628C7">
      <w:pPr>
        <w:spacing w:after="0" w:line="240" w:lineRule="auto"/>
      </w:pPr>
      <w:r>
        <w:t>1.</w:t>
      </w:r>
      <w:r>
        <w:t>6</w:t>
      </w:r>
      <w:r>
        <w:tab/>
      </w:r>
      <w:r>
        <w:t>PROJECT CONDITIONS</w:t>
      </w:r>
    </w:p>
    <w:p w14:paraId="6B24BC8B" w14:textId="77777777" w:rsidR="00A628C7" w:rsidRDefault="00A628C7" w:rsidP="00A628C7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Installation of underlayment product to occur after the space is 100% dried in (all windows and doors installed), preferably after drywall installation. </w:t>
      </w:r>
    </w:p>
    <w:p w14:paraId="53E80742" w14:textId="277AE9F6" w:rsidR="00A628C7" w:rsidRDefault="00A628C7" w:rsidP="00A628C7">
      <w:pPr>
        <w:pStyle w:val="ListParagraph"/>
        <w:numPr>
          <w:ilvl w:val="0"/>
          <w:numId w:val="12"/>
        </w:numPr>
        <w:spacing w:after="0" w:line="240" w:lineRule="auto"/>
      </w:pPr>
      <w:r>
        <w:t>Finished floor to be installed within two (2) weeks</w:t>
      </w:r>
      <w:r w:rsidR="0047670D">
        <w:t xml:space="preserve"> after Floor </w:t>
      </w:r>
      <w:proofErr w:type="spellStart"/>
      <w:r w:rsidR="0047670D">
        <w:t>Blokker</w:t>
      </w:r>
      <w:proofErr w:type="spellEnd"/>
      <w:r w:rsidR="0047670D">
        <w:t xml:space="preserve"> installation</w:t>
      </w:r>
      <w:r>
        <w:t xml:space="preserve">, if possible. </w:t>
      </w:r>
    </w:p>
    <w:p w14:paraId="2D677224" w14:textId="6732824F" w:rsidR="00A628C7" w:rsidRDefault="00A628C7" w:rsidP="00A628C7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Underlayment shall be protected from heavy wear, including the use of stilts, hand trucks, and other heavy equipment.  </w:t>
      </w:r>
    </w:p>
    <w:p w14:paraId="001D6B28" w14:textId="77777777" w:rsidR="009156E0" w:rsidRDefault="009156E0" w:rsidP="00533CC1">
      <w:pPr>
        <w:spacing w:after="0" w:line="240" w:lineRule="auto"/>
      </w:pPr>
    </w:p>
    <w:p w14:paraId="17BDF495" w14:textId="6320E5D1" w:rsidR="00533CC1" w:rsidRDefault="00533CC1" w:rsidP="00533CC1">
      <w:pPr>
        <w:spacing w:after="0" w:line="240" w:lineRule="auto"/>
      </w:pPr>
      <w:r>
        <w:lastRenderedPageBreak/>
        <w:t xml:space="preserve">PART 2 – PRODUCTS </w:t>
      </w:r>
    </w:p>
    <w:p w14:paraId="00BC696E" w14:textId="57255B7B" w:rsidR="00533CC1" w:rsidRDefault="00533CC1" w:rsidP="00533CC1">
      <w:pPr>
        <w:spacing w:after="0" w:line="240" w:lineRule="auto"/>
      </w:pPr>
    </w:p>
    <w:p w14:paraId="6969BCC4" w14:textId="2DFE00A4" w:rsidR="00533CC1" w:rsidRDefault="00533CC1" w:rsidP="00533CC1">
      <w:pPr>
        <w:spacing w:after="0" w:line="240" w:lineRule="auto"/>
      </w:pPr>
      <w:r>
        <w:t>2</w:t>
      </w:r>
      <w:r>
        <w:t>.</w:t>
      </w:r>
      <w:r>
        <w:t>1</w:t>
      </w:r>
      <w:r>
        <w:tab/>
      </w:r>
      <w:r>
        <w:t>FLOOR BLOKKER BY COMMERCIAL ACOUSTICS</w:t>
      </w:r>
    </w:p>
    <w:p w14:paraId="187BA5DD" w14:textId="4C6D8CB4" w:rsidR="00533CC1" w:rsidRDefault="00533CC1" w:rsidP="00533CC1">
      <w:pPr>
        <w:pStyle w:val="ListParagraph"/>
        <w:numPr>
          <w:ilvl w:val="0"/>
          <w:numId w:val="14"/>
        </w:numPr>
        <w:spacing w:after="0" w:line="240" w:lineRule="auto"/>
      </w:pPr>
      <w:r>
        <w:t>Materials:</w:t>
      </w:r>
    </w:p>
    <w:p w14:paraId="21BBB97F" w14:textId="7CDFC432" w:rsidR="00533CC1" w:rsidRDefault="00533CC1" w:rsidP="00533CC1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Engineered sound-damping underlayment, designed to remediate both impact and airborne noise. </w:t>
      </w:r>
    </w:p>
    <w:p w14:paraId="2F76A136" w14:textId="466C7B66" w:rsidR="00533CC1" w:rsidRDefault="00533CC1" w:rsidP="00533CC1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Ethylene Vinyl Acetate (EVA) &amp; Polyethylene (PE) product made from post-industrial recycled material.  </w:t>
      </w:r>
    </w:p>
    <w:p w14:paraId="0D07DC2A" w14:textId="31F1A0D6" w:rsidR="008479F1" w:rsidRDefault="008479F1" w:rsidP="008479F1">
      <w:pPr>
        <w:pStyle w:val="ListParagraph"/>
        <w:numPr>
          <w:ilvl w:val="0"/>
          <w:numId w:val="14"/>
        </w:numPr>
        <w:spacing w:after="0" w:line="240" w:lineRule="auto"/>
      </w:pPr>
      <w:r>
        <w:t>Dimensions:</w:t>
      </w:r>
    </w:p>
    <w:p w14:paraId="1DB3F2DB" w14:textId="1A49C0FC" w:rsidR="008479F1" w:rsidRDefault="008479F1" w:rsidP="008479F1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Thickness: 1/8” </w:t>
      </w:r>
    </w:p>
    <w:p w14:paraId="4FE2DC4B" w14:textId="77777777" w:rsidR="008479F1" w:rsidRDefault="008479F1" w:rsidP="008479F1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Weight: 1 </w:t>
      </w:r>
      <w:proofErr w:type="spellStart"/>
      <w:r>
        <w:t>lb</w:t>
      </w:r>
      <w:proofErr w:type="spellEnd"/>
      <w:r>
        <w:t>/</w:t>
      </w:r>
      <w:proofErr w:type="spellStart"/>
      <w:r>
        <w:t>sq.ft</w:t>
      </w:r>
      <w:proofErr w:type="spellEnd"/>
      <w:r>
        <w:t>.</w:t>
      </w:r>
    </w:p>
    <w:p w14:paraId="08BC48EE" w14:textId="0E347F7D" w:rsidR="008479F1" w:rsidRDefault="008479F1" w:rsidP="008479F1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Standard Sizes: 4’x25’ rolls; 4’x8’ sheets; custom length rolls available.  </w:t>
      </w:r>
    </w:p>
    <w:p w14:paraId="0F0B86BA" w14:textId="2464C309" w:rsidR="008479F1" w:rsidRDefault="008479F1" w:rsidP="008479F1">
      <w:pPr>
        <w:pStyle w:val="ListParagraph"/>
        <w:numPr>
          <w:ilvl w:val="0"/>
          <w:numId w:val="16"/>
        </w:numPr>
        <w:spacing w:after="0" w:line="240" w:lineRule="auto"/>
      </w:pPr>
      <w:r>
        <w:t>Tolerances:</w:t>
      </w:r>
    </w:p>
    <w:p w14:paraId="489AF461" w14:textId="6079B8A3" w:rsidR="008479F1" w:rsidRDefault="008479F1" w:rsidP="008479F1">
      <w:pPr>
        <w:pStyle w:val="ListParagraph"/>
        <w:numPr>
          <w:ilvl w:val="1"/>
          <w:numId w:val="16"/>
        </w:numPr>
        <w:spacing w:after="0" w:line="240" w:lineRule="auto"/>
      </w:pPr>
      <w:r>
        <w:t>Width: +/- 0.5”</w:t>
      </w:r>
    </w:p>
    <w:p w14:paraId="38AD238D" w14:textId="392C3BED" w:rsidR="008479F1" w:rsidRDefault="008479F1" w:rsidP="008479F1">
      <w:pPr>
        <w:pStyle w:val="ListParagraph"/>
        <w:numPr>
          <w:ilvl w:val="1"/>
          <w:numId w:val="16"/>
        </w:numPr>
        <w:spacing w:after="0" w:line="240" w:lineRule="auto"/>
      </w:pPr>
      <w:r>
        <w:t>Length: +/- 1%</w:t>
      </w:r>
    </w:p>
    <w:p w14:paraId="7103CE5C" w14:textId="0DD1B468" w:rsidR="008479F1" w:rsidRDefault="008479F1" w:rsidP="008479F1">
      <w:pPr>
        <w:pStyle w:val="ListParagraph"/>
        <w:numPr>
          <w:ilvl w:val="1"/>
          <w:numId w:val="16"/>
        </w:numPr>
        <w:spacing w:after="0" w:line="240" w:lineRule="auto"/>
      </w:pPr>
      <w:r>
        <w:t>Nominal Thickness: +/- 0.10”</w:t>
      </w:r>
    </w:p>
    <w:p w14:paraId="4BD3AE1F" w14:textId="683121B8" w:rsidR="008479F1" w:rsidRDefault="004E7856" w:rsidP="008479F1">
      <w:pPr>
        <w:pStyle w:val="ListParagraph"/>
        <w:numPr>
          <w:ilvl w:val="0"/>
          <w:numId w:val="14"/>
        </w:numPr>
        <w:spacing w:after="0" w:line="240" w:lineRule="auto"/>
      </w:pPr>
      <w:r>
        <w:t>Performance:</w:t>
      </w:r>
    </w:p>
    <w:p w14:paraId="3FE76D21" w14:textId="2CAF8E76" w:rsidR="004E7856" w:rsidRDefault="004E7856" w:rsidP="004E7856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Delta-IIC = 26 (ASTM E2179). </w:t>
      </w:r>
    </w:p>
    <w:p w14:paraId="65F915F0" w14:textId="2AFDB7DE" w:rsidR="004E7856" w:rsidRDefault="004E7856" w:rsidP="004E7856">
      <w:pPr>
        <w:pStyle w:val="ListParagraph"/>
        <w:numPr>
          <w:ilvl w:val="0"/>
          <w:numId w:val="17"/>
        </w:numPr>
        <w:spacing w:after="0" w:line="240" w:lineRule="auto"/>
      </w:pPr>
      <w:r>
        <w:t>Minimum STC = 25 (ASTM E90)</w:t>
      </w:r>
    </w:p>
    <w:p w14:paraId="5EB14F92" w14:textId="1FF218FD" w:rsidR="004E7856" w:rsidRDefault="004E7856" w:rsidP="004E7856">
      <w:pPr>
        <w:pStyle w:val="ListParagraph"/>
        <w:numPr>
          <w:ilvl w:val="0"/>
          <w:numId w:val="17"/>
        </w:numPr>
        <w:spacing w:after="0" w:line="240" w:lineRule="auto"/>
      </w:pPr>
      <w:r>
        <w:t>UL</w:t>
      </w:r>
      <w:r w:rsidR="00B0443A">
        <w:t xml:space="preserve"> Classified</w:t>
      </w:r>
      <w:r>
        <w:t xml:space="preserve"> Assemblies:</w:t>
      </w:r>
    </w:p>
    <w:p w14:paraId="48139936" w14:textId="54FD0773" w:rsidR="004E7856" w:rsidRDefault="004E7856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>300, 400, 500 Series</w:t>
      </w:r>
    </w:p>
    <w:p w14:paraId="0A1397B4" w14:textId="6B169A8E" w:rsidR="004E7856" w:rsidRDefault="004E7856" w:rsidP="004E7856">
      <w:pPr>
        <w:pStyle w:val="ListParagraph"/>
        <w:numPr>
          <w:ilvl w:val="0"/>
          <w:numId w:val="17"/>
        </w:numPr>
        <w:spacing w:after="0" w:line="240" w:lineRule="auto"/>
      </w:pPr>
      <w:r>
        <w:t>Flammability Rating:</w:t>
      </w:r>
    </w:p>
    <w:p w14:paraId="7281EAE4" w14:textId="7660ACD5" w:rsidR="004E7856" w:rsidRDefault="004E7856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>Class 1 (ASTM E84 Rev. A)</w:t>
      </w:r>
    </w:p>
    <w:p w14:paraId="75D36B53" w14:textId="5D343525" w:rsidR="004E7856" w:rsidRDefault="004E7856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>1-Hour fire resistance wall rating (ASTM E119)</w:t>
      </w:r>
    </w:p>
    <w:p w14:paraId="36E7AB14" w14:textId="485E207D" w:rsidR="004E7856" w:rsidRDefault="004E7856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>0.3 Thermal Resistance coefficient (ASTM C518)</w:t>
      </w:r>
    </w:p>
    <w:p w14:paraId="5E1132B3" w14:textId="6BE61E69" w:rsidR="004E7856" w:rsidRDefault="004E7856" w:rsidP="004E7856">
      <w:pPr>
        <w:pStyle w:val="ListParagraph"/>
        <w:numPr>
          <w:ilvl w:val="0"/>
          <w:numId w:val="17"/>
        </w:numPr>
        <w:spacing w:after="0" w:line="240" w:lineRule="auto"/>
      </w:pPr>
      <w:r>
        <w:t>Environmental:</w:t>
      </w:r>
    </w:p>
    <w:p w14:paraId="7CA9F8CF" w14:textId="4AC6DB7C" w:rsidR="004E7856" w:rsidRDefault="004E7856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>Mold/Mildew resistant. No fungal/algae growth and no visible disfigurement (ASTM D3273 &amp; ASTM G21)</w:t>
      </w:r>
      <w:r w:rsidR="00B0443A">
        <w:t xml:space="preserve">. </w:t>
      </w:r>
    </w:p>
    <w:p w14:paraId="49DEFF4F" w14:textId="62361E73" w:rsidR="00B0443A" w:rsidRDefault="00B0443A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100% recyclable at end of life. </w:t>
      </w:r>
    </w:p>
    <w:p w14:paraId="513B11CB" w14:textId="0E5F6CFD" w:rsidR="00B0443A" w:rsidRDefault="00B0443A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Non-PVC: no off-gassing. </w:t>
      </w:r>
    </w:p>
    <w:p w14:paraId="05081E59" w14:textId="25B55F47" w:rsidR="00B0443A" w:rsidRDefault="00B0443A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HIPPA Compliant. </w:t>
      </w:r>
    </w:p>
    <w:p w14:paraId="3A14F791" w14:textId="6A43C1E7" w:rsidR="00B0443A" w:rsidRDefault="00B0443A" w:rsidP="004E7856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Impermeable </w:t>
      </w:r>
      <w:r w:rsidR="00E824DA">
        <w:t>air and moisture</w:t>
      </w:r>
      <w:r>
        <w:t xml:space="preserve"> barrier. </w:t>
      </w:r>
    </w:p>
    <w:p w14:paraId="4472BCD8" w14:textId="751E0B18" w:rsidR="007B5173" w:rsidRDefault="007B5173" w:rsidP="007B5173">
      <w:pPr>
        <w:spacing w:after="0" w:line="240" w:lineRule="auto"/>
      </w:pPr>
    </w:p>
    <w:p w14:paraId="1C9C9035" w14:textId="537DAC8B" w:rsidR="007B5173" w:rsidRDefault="007B5173" w:rsidP="007B5173">
      <w:pPr>
        <w:spacing w:after="0" w:line="240" w:lineRule="auto"/>
      </w:pPr>
      <w:r>
        <w:t xml:space="preserve">PART 3 – EXECUTION </w:t>
      </w:r>
    </w:p>
    <w:p w14:paraId="17514563" w14:textId="23DFA83B" w:rsidR="007B5173" w:rsidRDefault="007B5173" w:rsidP="007B5173">
      <w:pPr>
        <w:spacing w:after="0" w:line="240" w:lineRule="auto"/>
      </w:pPr>
    </w:p>
    <w:p w14:paraId="56459AED" w14:textId="3A417BE5" w:rsidR="007B5173" w:rsidRDefault="007B5173" w:rsidP="007B5173">
      <w:pPr>
        <w:spacing w:after="0" w:line="240" w:lineRule="auto"/>
      </w:pPr>
      <w:r>
        <w:t>3.1</w:t>
      </w:r>
      <w:r>
        <w:tab/>
      </w:r>
      <w:r w:rsidR="000B4ADB">
        <w:t xml:space="preserve">PREPARATION  </w:t>
      </w:r>
    </w:p>
    <w:p w14:paraId="3149BE0F" w14:textId="6B6EF5F0" w:rsidR="00780FAE" w:rsidRDefault="000B4ADB" w:rsidP="00A81562">
      <w:pPr>
        <w:spacing w:after="0" w:line="240" w:lineRule="auto"/>
        <w:ind w:left="1080" w:hanging="360"/>
      </w:pPr>
      <w:r>
        <w:t>A.</w:t>
      </w:r>
      <w:r w:rsidR="00A81562">
        <w:t xml:space="preserve">   </w:t>
      </w:r>
      <w:r w:rsidRPr="00780FAE">
        <w:rPr>
          <w:u w:val="single"/>
        </w:rPr>
        <w:t>Concrete Subfloor</w:t>
      </w:r>
      <w:r w:rsidRPr="00A81562">
        <w:rPr>
          <w:u w:val="single"/>
        </w:rPr>
        <w:t>:</w:t>
      </w:r>
      <w:r>
        <w:t xml:space="preserve"> </w:t>
      </w:r>
      <w:r w:rsidR="00780FAE">
        <w:t xml:space="preserve">Standard density </w:t>
      </w:r>
      <w:r>
        <w:t>concrete must of good quality</w:t>
      </w:r>
      <w:r w:rsidR="00780FAE">
        <w:t xml:space="preserve"> with low water-to-cement ratio consistent with the requirements for placement of finishes.  It shall have a max. slump of 4” and min. compressive strength of 3500 psi.  Concrete shall be </w:t>
      </w:r>
      <w:r w:rsidR="00780FAE">
        <w:t>clean, dry, smooth, structurally sound, and</w:t>
      </w:r>
      <w:r w:rsidR="00780FAE">
        <w:t xml:space="preserve"> free of foreign materials that may prevent an adhesion bond (ASTM F710). </w:t>
      </w:r>
    </w:p>
    <w:p w14:paraId="5F975324" w14:textId="77777777" w:rsidR="00C2224A" w:rsidRDefault="00780FAE" w:rsidP="00780FAE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Moisture testing to be performed in accordance with ASTM F2170 or in accordance with ASTM F1869.  </w:t>
      </w:r>
    </w:p>
    <w:p w14:paraId="750D1E16" w14:textId="4BCF139B" w:rsidR="00780FAE" w:rsidRDefault="00780FAE" w:rsidP="00C2224A">
      <w:pPr>
        <w:pStyle w:val="ListParagraph"/>
        <w:numPr>
          <w:ilvl w:val="1"/>
          <w:numId w:val="18"/>
        </w:numPr>
        <w:spacing w:after="0" w:line="240" w:lineRule="auto"/>
      </w:pPr>
      <w:r>
        <w:t xml:space="preserve">Concrete must be dry with emission rates </w:t>
      </w:r>
      <w:r w:rsidR="00C2224A">
        <w:t xml:space="preserve">that do not exceed 3lb/1000sq.ft. in 24 hours. </w:t>
      </w:r>
    </w:p>
    <w:p w14:paraId="622FF633" w14:textId="4213BC74" w:rsidR="00C2224A" w:rsidRDefault="00C2224A" w:rsidP="00C2224A">
      <w:pPr>
        <w:pStyle w:val="ListParagraph"/>
        <w:numPr>
          <w:ilvl w:val="1"/>
          <w:numId w:val="18"/>
        </w:numPr>
        <w:spacing w:after="0" w:line="240" w:lineRule="auto"/>
      </w:pPr>
      <w:r>
        <w:t xml:space="preserve">Concrete surface must have pH of 9 or less. </w:t>
      </w:r>
    </w:p>
    <w:p w14:paraId="0A318FDA" w14:textId="0056691E" w:rsidR="00C2224A" w:rsidRDefault="00C2224A" w:rsidP="00C2224A">
      <w:pPr>
        <w:pStyle w:val="ListParagraph"/>
        <w:numPr>
          <w:ilvl w:val="1"/>
          <w:numId w:val="18"/>
        </w:numPr>
        <w:spacing w:after="0" w:line="240" w:lineRule="auto"/>
      </w:pPr>
      <w:r>
        <w:t xml:space="preserve">Bond testing to determine compatibility of adhesives to concrete must be provided by Adhesive Manufacturer. </w:t>
      </w:r>
    </w:p>
    <w:p w14:paraId="2B380DF3" w14:textId="7F2063EB" w:rsidR="00A81562" w:rsidRDefault="00A81562" w:rsidP="007E348F">
      <w:pPr>
        <w:spacing w:after="0" w:line="240" w:lineRule="auto"/>
        <w:ind w:left="1080" w:hanging="360"/>
      </w:pPr>
      <w:r>
        <w:lastRenderedPageBreak/>
        <w:t xml:space="preserve">B.    </w:t>
      </w:r>
      <w:r w:rsidRPr="00A81562">
        <w:rPr>
          <w:u w:val="single"/>
        </w:rPr>
        <w:t>Gypsum Concrete Subfloor:</w:t>
      </w:r>
      <w:r>
        <w:t xml:space="preserve"> Gypcrete surfaces to receive Floor </w:t>
      </w:r>
      <w:proofErr w:type="spellStart"/>
      <w:r>
        <w:t>Blokker</w:t>
      </w:r>
      <w:proofErr w:type="spellEnd"/>
      <w:r>
        <w:t xml:space="preserve"> must be clean and</w:t>
      </w:r>
      <w:r w:rsidR="007E348F">
        <w:t xml:space="preserve"> </w:t>
      </w:r>
      <w:r>
        <w:t xml:space="preserve">cured per the gypsum concrete manufacturer’s curing instructions. </w:t>
      </w:r>
    </w:p>
    <w:p w14:paraId="344EBAEB" w14:textId="6D4F5F8F" w:rsidR="00A81562" w:rsidRDefault="00A81562" w:rsidP="00A81562">
      <w:pPr>
        <w:spacing w:after="0" w:line="240" w:lineRule="auto"/>
        <w:ind w:left="1080" w:hanging="360"/>
      </w:pPr>
      <w:r>
        <w:t>C.</w:t>
      </w:r>
      <w:r>
        <w:tab/>
      </w:r>
      <w:r w:rsidRPr="00A81562">
        <w:rPr>
          <w:u w:val="single"/>
        </w:rPr>
        <w:t>Wood Subfloor:</w:t>
      </w:r>
      <w:r>
        <w:t xml:space="preserve"> </w:t>
      </w:r>
      <w:r w:rsidR="00B21A4F">
        <w:t>Wood surfaces</w:t>
      </w:r>
      <w:r w:rsidR="002A1CC4">
        <w:t xml:space="preserve"> (or cement board)</w:t>
      </w:r>
      <w:r w:rsidR="00B21A4F">
        <w:t xml:space="preserve"> to receive Floor </w:t>
      </w:r>
      <w:proofErr w:type="spellStart"/>
      <w:r w:rsidR="00B21A4F">
        <w:t>Blokker</w:t>
      </w:r>
      <w:proofErr w:type="spellEnd"/>
      <w:r w:rsidR="00B21A4F">
        <w:t xml:space="preserve"> must be broom clean and smooth with no protruding fasteners. </w:t>
      </w:r>
    </w:p>
    <w:p w14:paraId="78CF0705" w14:textId="24B7BBF6" w:rsidR="00A67FE0" w:rsidRDefault="00A67FE0" w:rsidP="00A67FE0">
      <w:pPr>
        <w:pStyle w:val="ListParagraph"/>
        <w:numPr>
          <w:ilvl w:val="0"/>
          <w:numId w:val="19"/>
        </w:numPr>
        <w:spacing w:after="0" w:line="240" w:lineRule="auto"/>
      </w:pPr>
      <w:r>
        <w:t>Protrusions greater than 1/16” shall be scraped from the surface to avoid puncturing</w:t>
      </w:r>
      <w:r>
        <w:t xml:space="preserve">.  </w:t>
      </w:r>
    </w:p>
    <w:p w14:paraId="37B2A469" w14:textId="4EE74FB7" w:rsidR="00A67FE0" w:rsidRDefault="00A67FE0" w:rsidP="00A67FE0">
      <w:pPr>
        <w:spacing w:after="0" w:line="240" w:lineRule="auto"/>
      </w:pPr>
    </w:p>
    <w:p w14:paraId="1AE9F49A" w14:textId="52C3A597" w:rsidR="00A67FE0" w:rsidRDefault="00A67FE0" w:rsidP="00A67FE0">
      <w:pPr>
        <w:spacing w:after="0" w:line="240" w:lineRule="auto"/>
      </w:pPr>
      <w:r>
        <w:t>3.2</w:t>
      </w:r>
      <w:r>
        <w:tab/>
        <w:t xml:space="preserve">INSTALLATION </w:t>
      </w:r>
    </w:p>
    <w:p w14:paraId="1458F2DD" w14:textId="48AF7D64" w:rsidR="00A67FE0" w:rsidRDefault="00A67FE0" w:rsidP="00A67FE0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Place EVA (Black) side </w:t>
      </w:r>
      <w:r w:rsidRPr="00A67FE0">
        <w:rPr>
          <w:u w:val="single"/>
        </w:rPr>
        <w:t>UP</w:t>
      </w:r>
      <w:r>
        <w:t xml:space="preserve"> onto the subfloor for the following finishes: </w:t>
      </w:r>
    </w:p>
    <w:p w14:paraId="0934A5B1" w14:textId="0F6A2E16" w:rsidR="00A67FE0" w:rsidRDefault="00A67FE0" w:rsidP="00A67FE0">
      <w:pPr>
        <w:spacing w:after="0" w:line="240" w:lineRule="auto"/>
        <w:ind w:left="1080"/>
      </w:pPr>
      <w:r>
        <w:t>1.</w:t>
      </w:r>
      <w:r>
        <w:tab/>
        <w:t xml:space="preserve">Hardwood or Engineered Wood – nail-down, glue-down, or floating. </w:t>
      </w:r>
    </w:p>
    <w:p w14:paraId="7776C3C7" w14:textId="01E80024" w:rsidR="00A67FE0" w:rsidRDefault="00A67FE0" w:rsidP="00A67FE0">
      <w:pPr>
        <w:spacing w:after="0" w:line="240" w:lineRule="auto"/>
        <w:ind w:left="1080"/>
      </w:pPr>
      <w:r>
        <w:t>2.</w:t>
      </w:r>
      <w:r>
        <w:tab/>
        <w:t xml:space="preserve">Carpet Tiles – glue-down. </w:t>
      </w:r>
    </w:p>
    <w:p w14:paraId="3C5A1C4D" w14:textId="68E15FFA" w:rsidR="00A67FE0" w:rsidRDefault="00A67FE0" w:rsidP="00A67FE0">
      <w:pPr>
        <w:spacing w:after="0" w:line="240" w:lineRule="auto"/>
        <w:ind w:left="1080"/>
      </w:pPr>
      <w:r>
        <w:t>3.</w:t>
      </w:r>
      <w:r>
        <w:tab/>
        <w:t xml:space="preserve">LVT, VCT, Laminates, and others. </w:t>
      </w:r>
    </w:p>
    <w:p w14:paraId="09DFBC36" w14:textId="27EA395D" w:rsidR="00A67FE0" w:rsidRDefault="00A67FE0" w:rsidP="00A67FE0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Place EVA (Black) side </w:t>
      </w:r>
      <w:r w:rsidRPr="00A67FE0">
        <w:rPr>
          <w:u w:val="single"/>
        </w:rPr>
        <w:t>DOWN</w:t>
      </w:r>
      <w:r>
        <w:t xml:space="preserve"> onto the subfloor for the following finishes: </w:t>
      </w:r>
    </w:p>
    <w:p w14:paraId="5FA77C26" w14:textId="5CA42909" w:rsidR="00A67FE0" w:rsidRDefault="00A67FE0" w:rsidP="00A67FE0">
      <w:pPr>
        <w:pStyle w:val="ListParagraph"/>
        <w:spacing w:after="0" w:line="240" w:lineRule="auto"/>
        <w:ind w:left="1080"/>
      </w:pPr>
      <w:r>
        <w:t>1.</w:t>
      </w:r>
      <w:r>
        <w:tab/>
        <w:t xml:space="preserve">Ceramic Tile. </w:t>
      </w:r>
    </w:p>
    <w:p w14:paraId="502BD881" w14:textId="77777777" w:rsidR="00A67FE0" w:rsidRDefault="00A67FE0" w:rsidP="00A67FE0">
      <w:pPr>
        <w:spacing w:after="0" w:line="240" w:lineRule="auto"/>
      </w:pPr>
    </w:p>
    <w:p w14:paraId="6BAF139F" w14:textId="68E5C28A" w:rsidR="00A67FE0" w:rsidRDefault="00A67FE0" w:rsidP="00A67FE0">
      <w:pPr>
        <w:spacing w:after="0" w:line="240" w:lineRule="auto"/>
      </w:pPr>
      <w:r>
        <w:t>3.3</w:t>
      </w:r>
      <w:r>
        <w:tab/>
        <w:t>PROCEDURE</w:t>
      </w:r>
      <w:r>
        <w:t xml:space="preserve"> </w:t>
      </w:r>
    </w:p>
    <w:p w14:paraId="51651E49" w14:textId="13163FA1" w:rsidR="00A07F24" w:rsidRDefault="00A07F24" w:rsidP="00A2110A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Acoustic sealant shall be used at base of bottom plate of walls where necessary, prior to installation of Floor </w:t>
      </w:r>
      <w:proofErr w:type="spellStart"/>
      <w:r>
        <w:t>Blokker</w:t>
      </w:r>
      <w:proofErr w:type="spellEnd"/>
      <w:r>
        <w:t xml:space="preserve">. </w:t>
      </w:r>
    </w:p>
    <w:p w14:paraId="0951BB8A" w14:textId="77777777" w:rsidR="00302494" w:rsidRDefault="00302494" w:rsidP="00302494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Start in corner of the room.  Unroll Floor </w:t>
      </w:r>
      <w:proofErr w:type="spellStart"/>
      <w:r>
        <w:t>Blokker</w:t>
      </w:r>
      <w:proofErr w:type="spellEnd"/>
      <w:r>
        <w:t xml:space="preserve"> flush with existing walls. </w:t>
      </w:r>
    </w:p>
    <w:p w14:paraId="5803E60B" w14:textId="642886C8" w:rsidR="00302494" w:rsidRDefault="00302494" w:rsidP="00302494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Cut to required length using utility knife and straight-edge. </w:t>
      </w:r>
    </w:p>
    <w:p w14:paraId="01C78D76" w14:textId="020DF14B" w:rsidR="00302494" w:rsidRDefault="00302494" w:rsidP="00302494">
      <w:pPr>
        <w:pStyle w:val="ListParagraph"/>
        <w:spacing w:after="0" w:line="240" w:lineRule="auto"/>
        <w:ind w:left="1080"/>
      </w:pPr>
      <w:r>
        <w:t>1.</w:t>
      </w:r>
      <w:r>
        <w:tab/>
        <w:t xml:space="preserve">Cut around irregular objects and columns. </w:t>
      </w:r>
    </w:p>
    <w:p w14:paraId="6B710E8D" w14:textId="77777777" w:rsidR="00302494" w:rsidRDefault="00302494" w:rsidP="00302494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Roll out additional rolls, tightly butting side edges to one another. </w:t>
      </w:r>
    </w:p>
    <w:p w14:paraId="3E80438E" w14:textId="3EA03098" w:rsidR="00302494" w:rsidRDefault="00302494" w:rsidP="00302494">
      <w:pPr>
        <w:spacing w:after="0" w:line="240" w:lineRule="auto"/>
        <w:ind w:left="1080"/>
      </w:pPr>
      <w:r>
        <w:t>1.</w:t>
      </w:r>
      <w:r>
        <w:tab/>
        <w:t xml:space="preserve">Do </w:t>
      </w:r>
      <w:r w:rsidR="002A1CC4">
        <w:t>NOT</w:t>
      </w:r>
      <w:r>
        <w:t xml:space="preserve"> overlap seams.</w:t>
      </w:r>
    </w:p>
    <w:p w14:paraId="5E317A14" w14:textId="77777777" w:rsidR="00A07F24" w:rsidRDefault="00302494" w:rsidP="00302494">
      <w:pPr>
        <w:spacing w:after="0" w:line="240" w:lineRule="auto"/>
        <w:ind w:left="1080"/>
      </w:pPr>
      <w:r>
        <w:t>2.</w:t>
      </w:r>
      <w:r>
        <w:tab/>
        <w:t xml:space="preserve">Butt-joints shall not have openings exceeding 1/16”.  </w:t>
      </w:r>
    </w:p>
    <w:p w14:paraId="65F83C46" w14:textId="34608B98" w:rsidR="00302494" w:rsidRDefault="00A07F24" w:rsidP="00302494">
      <w:pPr>
        <w:spacing w:after="0" w:line="240" w:lineRule="auto"/>
        <w:ind w:left="1080"/>
      </w:pPr>
      <w:r>
        <w:t>3.</w:t>
      </w:r>
      <w:r>
        <w:tab/>
        <w:t xml:space="preserve">End-joints shall be staggered. </w:t>
      </w:r>
      <w:r w:rsidR="00302494">
        <w:t xml:space="preserve"> </w:t>
      </w:r>
    </w:p>
    <w:p w14:paraId="3910DCA1" w14:textId="5C0E1392" w:rsidR="00302494" w:rsidRDefault="00302494" w:rsidP="00302494">
      <w:pPr>
        <w:pStyle w:val="ListParagraph"/>
        <w:numPr>
          <w:ilvl w:val="0"/>
          <w:numId w:val="21"/>
        </w:numPr>
        <w:spacing w:after="0" w:line="240" w:lineRule="auto"/>
      </w:pPr>
      <w:r>
        <w:t>Seams should be taped with an approved impermeable tape</w:t>
      </w:r>
      <w:r>
        <w:t xml:space="preserve">. </w:t>
      </w:r>
    </w:p>
    <w:p w14:paraId="2311ABEC" w14:textId="183727CB" w:rsidR="00302494" w:rsidRDefault="00302494" w:rsidP="00302494">
      <w:pPr>
        <w:pStyle w:val="ListParagraph"/>
        <w:spacing w:after="0" w:line="240" w:lineRule="auto"/>
        <w:ind w:left="1080"/>
      </w:pPr>
      <w:r>
        <w:t>1.</w:t>
      </w:r>
      <w:r>
        <w:tab/>
        <w:t xml:space="preserve">Tape should be rolled out to ensure no bubbles or wrinkles. </w:t>
      </w:r>
    </w:p>
    <w:p w14:paraId="16FE6067" w14:textId="06114D6B" w:rsidR="00C9755F" w:rsidRDefault="00C9755F" w:rsidP="00302494">
      <w:pPr>
        <w:pStyle w:val="ListParagraph"/>
        <w:spacing w:after="0" w:line="240" w:lineRule="auto"/>
        <w:ind w:left="1080"/>
      </w:pPr>
      <w:r>
        <w:t>2.</w:t>
      </w:r>
      <w:r>
        <w:tab/>
        <w:t xml:space="preserve">Tape not required for hardwood </w:t>
      </w:r>
      <w:r w:rsidR="00A07F24">
        <w:t xml:space="preserve">or laminate with wood sub-floor applications. </w:t>
      </w:r>
    </w:p>
    <w:p w14:paraId="60D3B86B" w14:textId="76D80588" w:rsidR="00A07F24" w:rsidRDefault="00A07F24" w:rsidP="00302494">
      <w:pPr>
        <w:pStyle w:val="ListParagraph"/>
        <w:spacing w:after="0" w:line="240" w:lineRule="auto"/>
        <w:ind w:left="1080"/>
      </w:pPr>
      <w:r>
        <w:t>3.</w:t>
      </w:r>
      <w:r>
        <w:tab/>
        <w:t xml:space="preserve">See Detailed Installation Instructions for list of approved impermeable tapes. </w:t>
      </w:r>
    </w:p>
    <w:p w14:paraId="705DFB39" w14:textId="77777777" w:rsidR="00A07F24" w:rsidRDefault="00A07F24" w:rsidP="00A07F24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Adhesives: </w:t>
      </w:r>
    </w:p>
    <w:p w14:paraId="2FE3248A" w14:textId="3BC045F5" w:rsidR="00A07F24" w:rsidRDefault="00A07F24" w:rsidP="00A07F24">
      <w:pPr>
        <w:pStyle w:val="ListParagraph"/>
        <w:spacing w:after="0" w:line="240" w:lineRule="auto"/>
        <w:ind w:left="1440" w:hanging="360"/>
      </w:pPr>
      <w:r>
        <w:t>1.</w:t>
      </w:r>
      <w:r>
        <w:tab/>
        <w:t>See Detailed Installation Instructions or contact product Manufacturer for list of approved adhesives</w:t>
      </w:r>
      <w:r w:rsidR="002D3F68">
        <w:t xml:space="preserve">, glues, mortars, and grouts. </w:t>
      </w:r>
      <w:r>
        <w:t xml:space="preserve"> </w:t>
      </w:r>
    </w:p>
    <w:p w14:paraId="4DB6D9DD" w14:textId="292DCBC6" w:rsidR="002A1CC4" w:rsidRDefault="002A1CC4" w:rsidP="00A07F24">
      <w:pPr>
        <w:pStyle w:val="ListParagraph"/>
        <w:spacing w:after="0" w:line="240" w:lineRule="auto"/>
        <w:ind w:left="1440" w:hanging="360"/>
      </w:pPr>
      <w:r>
        <w:t>2.</w:t>
      </w:r>
      <w:r>
        <w:tab/>
        <w:t xml:space="preserve">Floor </w:t>
      </w:r>
      <w:proofErr w:type="spellStart"/>
      <w:r>
        <w:t>Blokker</w:t>
      </w:r>
      <w:proofErr w:type="spellEnd"/>
      <w:r>
        <w:t xml:space="preserve"> is adhered to the subfloor using premium, polyurethane-based, vinyl tile adhesive.  </w:t>
      </w:r>
    </w:p>
    <w:p w14:paraId="58F47D7D" w14:textId="497BE881" w:rsidR="002A1CC4" w:rsidRDefault="002A1CC4" w:rsidP="00A07F24">
      <w:pPr>
        <w:pStyle w:val="ListParagraph"/>
        <w:spacing w:after="0" w:line="240" w:lineRule="auto"/>
        <w:ind w:left="1440" w:hanging="360"/>
      </w:pPr>
      <w:r>
        <w:t>3.</w:t>
      </w:r>
      <w:r>
        <w:tab/>
        <w:t xml:space="preserve">Do NOT use water-based Latex Adhesives. </w:t>
      </w:r>
    </w:p>
    <w:p w14:paraId="12626413" w14:textId="5EFCFCF7" w:rsidR="00A07F24" w:rsidRDefault="00A07F24" w:rsidP="00A07F24">
      <w:pPr>
        <w:pStyle w:val="ListParagraph"/>
        <w:numPr>
          <w:ilvl w:val="0"/>
          <w:numId w:val="21"/>
        </w:numPr>
        <w:spacing w:after="0" w:line="240" w:lineRule="auto"/>
      </w:pPr>
      <w:r>
        <w:t>Hardwood Floor Installation:</w:t>
      </w:r>
    </w:p>
    <w:p w14:paraId="4DBB60D3" w14:textId="16B0E281" w:rsidR="00A07F24" w:rsidRDefault="00A07F24" w:rsidP="00A07F24">
      <w:pPr>
        <w:spacing w:after="0" w:line="240" w:lineRule="auto"/>
        <w:ind w:left="1080"/>
      </w:pPr>
      <w:r>
        <w:t>1.</w:t>
      </w:r>
      <w:r>
        <w:tab/>
        <w:t>Follow floor covering Manufacturer’s recommended installation instructions.</w:t>
      </w:r>
    </w:p>
    <w:p w14:paraId="29BCAE22" w14:textId="76C95B78" w:rsidR="00A07F24" w:rsidRDefault="00A07F24" w:rsidP="00A07F24">
      <w:pPr>
        <w:spacing w:after="0" w:line="240" w:lineRule="auto"/>
        <w:ind w:left="1080"/>
      </w:pPr>
      <w:r>
        <w:t>2.</w:t>
      </w:r>
      <w:r>
        <w:tab/>
        <w:t xml:space="preserve">Planks should be installed perpendicular to Floor </w:t>
      </w:r>
      <w:proofErr w:type="spellStart"/>
      <w:r>
        <w:t>Blokker</w:t>
      </w:r>
      <w:proofErr w:type="spellEnd"/>
      <w:r>
        <w:t xml:space="preserve"> underlayment pattern. </w:t>
      </w:r>
    </w:p>
    <w:p w14:paraId="25C6FF8F" w14:textId="459376D8" w:rsidR="00A07F24" w:rsidRDefault="00A07F24" w:rsidP="00A07F24">
      <w:pPr>
        <w:spacing w:after="0" w:line="240" w:lineRule="auto"/>
        <w:ind w:left="1080"/>
      </w:pPr>
      <w:r>
        <w:t>3.</w:t>
      </w:r>
      <w:r>
        <w:tab/>
        <w:t xml:space="preserve">Ensure seams of wood flooring are offset from Floor </w:t>
      </w:r>
      <w:proofErr w:type="spellStart"/>
      <w:r>
        <w:t>Blokker</w:t>
      </w:r>
      <w:proofErr w:type="spellEnd"/>
      <w:r>
        <w:t xml:space="preserve"> underlayment seams.</w:t>
      </w:r>
    </w:p>
    <w:p w14:paraId="454327FE" w14:textId="0876BBA5" w:rsidR="002A1CC4" w:rsidRDefault="002A1CC4" w:rsidP="002A1CC4">
      <w:pPr>
        <w:spacing w:after="0" w:line="240" w:lineRule="auto"/>
        <w:ind w:left="1440" w:hanging="360"/>
      </w:pPr>
      <w:r>
        <w:t>4.</w:t>
      </w:r>
      <w:r>
        <w:tab/>
        <w:t xml:space="preserve">Hardwood should not contact drywall or baseboard directly.  Use acoustic sealant where locked under baseboard. </w:t>
      </w:r>
    </w:p>
    <w:p w14:paraId="1DC9589E" w14:textId="1911DCC6" w:rsidR="002A1CC4" w:rsidRDefault="002A1CC4" w:rsidP="002A1CC4">
      <w:pPr>
        <w:pStyle w:val="ListParagraph"/>
        <w:numPr>
          <w:ilvl w:val="0"/>
          <w:numId w:val="21"/>
        </w:numPr>
        <w:spacing w:after="0" w:line="240" w:lineRule="auto"/>
      </w:pPr>
      <w:r>
        <w:t>Ceramic Tile</w:t>
      </w:r>
      <w:r>
        <w:t xml:space="preserve"> Installation:</w:t>
      </w:r>
    </w:p>
    <w:p w14:paraId="5D4F5A17" w14:textId="1D642B28" w:rsidR="002A1CC4" w:rsidRDefault="002A1CC4" w:rsidP="002A1CC4">
      <w:pPr>
        <w:pStyle w:val="ListParagraph"/>
        <w:spacing w:after="0" w:line="240" w:lineRule="auto"/>
        <w:ind w:left="1080"/>
      </w:pPr>
      <w:r>
        <w:t>1.</w:t>
      </w:r>
      <w:r>
        <w:tab/>
        <w:t xml:space="preserve">Glue Floor </w:t>
      </w:r>
      <w:proofErr w:type="spellStart"/>
      <w:r>
        <w:t>Blokker</w:t>
      </w:r>
      <w:proofErr w:type="spellEnd"/>
      <w:r>
        <w:t xml:space="preserve"> to subfloor using approved adhesive. </w:t>
      </w:r>
    </w:p>
    <w:p w14:paraId="26D86371" w14:textId="2CBB65F4" w:rsidR="002A1CC4" w:rsidRDefault="002A1CC4" w:rsidP="002D3F68">
      <w:pPr>
        <w:pStyle w:val="ListParagraph"/>
        <w:spacing w:after="0" w:line="240" w:lineRule="auto"/>
        <w:ind w:left="1440" w:hanging="360"/>
      </w:pPr>
      <w:r>
        <w:t>2.</w:t>
      </w:r>
      <w:r>
        <w:tab/>
        <w:t>Install mortar</w:t>
      </w:r>
      <w:r w:rsidR="00FD6072">
        <w:t xml:space="preserve"> and tiles</w:t>
      </w:r>
      <w:r>
        <w:t xml:space="preserve"> to white side (facing up) of Floor </w:t>
      </w:r>
      <w:proofErr w:type="spellStart"/>
      <w:r>
        <w:t>Blokker</w:t>
      </w:r>
      <w:proofErr w:type="spellEnd"/>
      <w:r>
        <w:t xml:space="preserve">, per tile and adhesive Manufacturers’ </w:t>
      </w:r>
      <w:r w:rsidR="002D3F68">
        <w:t xml:space="preserve">instructions. </w:t>
      </w:r>
    </w:p>
    <w:p w14:paraId="5DEFC684" w14:textId="462A0746" w:rsidR="002D3F68" w:rsidRDefault="002D3F68" w:rsidP="002D3F68">
      <w:pPr>
        <w:pStyle w:val="ListParagraph"/>
        <w:spacing w:after="0" w:line="240" w:lineRule="auto"/>
        <w:ind w:left="1440" w:hanging="360"/>
      </w:pPr>
      <w:r>
        <w:t>3.</w:t>
      </w:r>
      <w:r>
        <w:tab/>
        <w:t xml:space="preserve">Mortar joints should be no greater than 1/8”.  </w:t>
      </w:r>
    </w:p>
    <w:p w14:paraId="09F0F912" w14:textId="66295C5C" w:rsidR="00B21A4F" w:rsidRPr="00B21A4F" w:rsidRDefault="00B40339" w:rsidP="00FE2AC5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See Floor </w:t>
      </w:r>
      <w:proofErr w:type="spellStart"/>
      <w:r>
        <w:t>Blokker</w:t>
      </w:r>
      <w:proofErr w:type="spellEnd"/>
      <w:r w:rsidR="00005DE8">
        <w:t xml:space="preserve"> Detailed</w:t>
      </w:r>
      <w:r>
        <w:t xml:space="preserve"> Installation Instructions for additional guidelines, finis</w:t>
      </w:r>
      <w:r w:rsidR="00FD6072">
        <w:t>h options</w:t>
      </w:r>
      <w:r>
        <w:t>,</w:t>
      </w:r>
      <w:r w:rsidR="00FD6072">
        <w:t xml:space="preserve"> recommendations, </w:t>
      </w:r>
      <w:r>
        <w:t>and approved products</w:t>
      </w:r>
      <w:r w:rsidR="00D104DF">
        <w:t>.</w:t>
      </w:r>
    </w:p>
    <w:p w14:paraId="486B5651" w14:textId="0ACD4623" w:rsidR="00533CC1" w:rsidRDefault="00533CC1" w:rsidP="00533CC1">
      <w:pPr>
        <w:pStyle w:val="ListParagraph"/>
        <w:spacing w:after="0" w:line="240" w:lineRule="auto"/>
        <w:ind w:left="1440"/>
      </w:pPr>
    </w:p>
    <w:p w14:paraId="6FCF5730" w14:textId="25A2C2C4" w:rsidR="00A44C8F" w:rsidRDefault="00A44C8F" w:rsidP="00A628C7">
      <w:pPr>
        <w:spacing w:after="0" w:line="240" w:lineRule="auto"/>
      </w:pPr>
    </w:p>
    <w:sectPr w:rsidR="00A44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7EA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51E41"/>
    <w:multiLevelType w:val="hybridMultilevel"/>
    <w:tmpl w:val="3CB20D08"/>
    <w:lvl w:ilvl="0" w:tplc="8EF851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8D108C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0625F"/>
    <w:multiLevelType w:val="hybridMultilevel"/>
    <w:tmpl w:val="8942322A"/>
    <w:lvl w:ilvl="0" w:tplc="FE20B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DA47FA"/>
    <w:multiLevelType w:val="hybridMultilevel"/>
    <w:tmpl w:val="239C5B48"/>
    <w:lvl w:ilvl="0" w:tplc="AAC037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3421F0"/>
    <w:multiLevelType w:val="hybridMultilevel"/>
    <w:tmpl w:val="546872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4C647C"/>
    <w:multiLevelType w:val="hybridMultilevel"/>
    <w:tmpl w:val="C14287BE"/>
    <w:lvl w:ilvl="0" w:tplc="9E3CF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8C457C"/>
    <w:multiLevelType w:val="hybridMultilevel"/>
    <w:tmpl w:val="DB8C3BC2"/>
    <w:lvl w:ilvl="0" w:tplc="1FD82C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4F32BC"/>
    <w:multiLevelType w:val="hybridMultilevel"/>
    <w:tmpl w:val="C14287BE"/>
    <w:lvl w:ilvl="0" w:tplc="9E3CF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291865"/>
    <w:multiLevelType w:val="hybridMultilevel"/>
    <w:tmpl w:val="E5E2ABE2"/>
    <w:lvl w:ilvl="0" w:tplc="48904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DC4E5C"/>
    <w:multiLevelType w:val="hybridMultilevel"/>
    <w:tmpl w:val="D92AD880"/>
    <w:lvl w:ilvl="0" w:tplc="10ECAD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6E5980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9744B0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9666B6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BA09EA"/>
    <w:multiLevelType w:val="multilevel"/>
    <w:tmpl w:val="353CC43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3D646A7"/>
    <w:multiLevelType w:val="hybridMultilevel"/>
    <w:tmpl w:val="D3A63F12"/>
    <w:lvl w:ilvl="0" w:tplc="91B409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9137EB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F872BB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045006"/>
    <w:multiLevelType w:val="hybridMultilevel"/>
    <w:tmpl w:val="94585AFA"/>
    <w:lvl w:ilvl="0" w:tplc="7CC8A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103ABF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BF6FFD"/>
    <w:multiLevelType w:val="hybridMultilevel"/>
    <w:tmpl w:val="61927D58"/>
    <w:lvl w:ilvl="0" w:tplc="590EC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2C0521"/>
    <w:multiLevelType w:val="hybridMultilevel"/>
    <w:tmpl w:val="5F7A2822"/>
    <w:lvl w:ilvl="0" w:tplc="77AA3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14"/>
  </w:num>
  <w:num w:numId="8">
    <w:abstractNumId w:val="3"/>
  </w:num>
  <w:num w:numId="9">
    <w:abstractNumId w:val="18"/>
  </w:num>
  <w:num w:numId="10">
    <w:abstractNumId w:val="0"/>
  </w:num>
  <w:num w:numId="11">
    <w:abstractNumId w:val="4"/>
  </w:num>
  <w:num w:numId="12">
    <w:abstractNumId w:val="15"/>
  </w:num>
  <w:num w:numId="13">
    <w:abstractNumId w:val="19"/>
  </w:num>
  <w:num w:numId="14">
    <w:abstractNumId w:val="12"/>
  </w:num>
  <w:num w:numId="15">
    <w:abstractNumId w:val="1"/>
  </w:num>
  <w:num w:numId="16">
    <w:abstractNumId w:val="17"/>
  </w:num>
  <w:num w:numId="17">
    <w:abstractNumId w:val="7"/>
  </w:num>
  <w:num w:numId="18">
    <w:abstractNumId w:val="8"/>
  </w:num>
  <w:num w:numId="19">
    <w:abstractNumId w:val="6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0A"/>
    <w:rsid w:val="00005DE8"/>
    <w:rsid w:val="00082B0A"/>
    <w:rsid w:val="000B4ADB"/>
    <w:rsid w:val="000C158F"/>
    <w:rsid w:val="001058A4"/>
    <w:rsid w:val="001C7297"/>
    <w:rsid w:val="001F1B10"/>
    <w:rsid w:val="00226543"/>
    <w:rsid w:val="00233E2D"/>
    <w:rsid w:val="002641A2"/>
    <w:rsid w:val="00274C55"/>
    <w:rsid w:val="00284C7D"/>
    <w:rsid w:val="002A1CC4"/>
    <w:rsid w:val="002B0002"/>
    <w:rsid w:val="002D3F68"/>
    <w:rsid w:val="00302494"/>
    <w:rsid w:val="00304382"/>
    <w:rsid w:val="003044A0"/>
    <w:rsid w:val="003206AD"/>
    <w:rsid w:val="003349B7"/>
    <w:rsid w:val="003716C0"/>
    <w:rsid w:val="003C29C4"/>
    <w:rsid w:val="003C2C78"/>
    <w:rsid w:val="003D1833"/>
    <w:rsid w:val="00452045"/>
    <w:rsid w:val="0047670D"/>
    <w:rsid w:val="004A43E4"/>
    <w:rsid w:val="004B3847"/>
    <w:rsid w:val="004C4DE7"/>
    <w:rsid w:val="004E7856"/>
    <w:rsid w:val="00533CC1"/>
    <w:rsid w:val="005803D6"/>
    <w:rsid w:val="005B3763"/>
    <w:rsid w:val="005B42D0"/>
    <w:rsid w:val="006B0FA3"/>
    <w:rsid w:val="006D243F"/>
    <w:rsid w:val="006F2274"/>
    <w:rsid w:val="00701AFB"/>
    <w:rsid w:val="0076610C"/>
    <w:rsid w:val="007773E6"/>
    <w:rsid w:val="00780FAE"/>
    <w:rsid w:val="007B5173"/>
    <w:rsid w:val="007E348F"/>
    <w:rsid w:val="00820215"/>
    <w:rsid w:val="00844FCD"/>
    <w:rsid w:val="008479F1"/>
    <w:rsid w:val="008773F9"/>
    <w:rsid w:val="008965AB"/>
    <w:rsid w:val="008A7DC9"/>
    <w:rsid w:val="008C4495"/>
    <w:rsid w:val="008F6807"/>
    <w:rsid w:val="008F68F2"/>
    <w:rsid w:val="0090046D"/>
    <w:rsid w:val="0091076B"/>
    <w:rsid w:val="0091551E"/>
    <w:rsid w:val="009156E0"/>
    <w:rsid w:val="00917ADC"/>
    <w:rsid w:val="00972A70"/>
    <w:rsid w:val="00991FB0"/>
    <w:rsid w:val="00996144"/>
    <w:rsid w:val="00A07432"/>
    <w:rsid w:val="00A07F24"/>
    <w:rsid w:val="00A216E3"/>
    <w:rsid w:val="00A44C8F"/>
    <w:rsid w:val="00A628C7"/>
    <w:rsid w:val="00A67FE0"/>
    <w:rsid w:val="00A81562"/>
    <w:rsid w:val="00A83DBC"/>
    <w:rsid w:val="00AC3DDF"/>
    <w:rsid w:val="00AD3755"/>
    <w:rsid w:val="00AE4189"/>
    <w:rsid w:val="00B0443A"/>
    <w:rsid w:val="00B14AFF"/>
    <w:rsid w:val="00B21A4F"/>
    <w:rsid w:val="00B40339"/>
    <w:rsid w:val="00BF7ABE"/>
    <w:rsid w:val="00C2224A"/>
    <w:rsid w:val="00C43BFD"/>
    <w:rsid w:val="00C46B23"/>
    <w:rsid w:val="00C5539E"/>
    <w:rsid w:val="00C9755F"/>
    <w:rsid w:val="00CD624C"/>
    <w:rsid w:val="00CF6FFB"/>
    <w:rsid w:val="00D104DF"/>
    <w:rsid w:val="00D30133"/>
    <w:rsid w:val="00D31E7D"/>
    <w:rsid w:val="00DB0305"/>
    <w:rsid w:val="00DD46A0"/>
    <w:rsid w:val="00DD5927"/>
    <w:rsid w:val="00DE7885"/>
    <w:rsid w:val="00E04AB3"/>
    <w:rsid w:val="00E54507"/>
    <w:rsid w:val="00E67DB7"/>
    <w:rsid w:val="00E824DA"/>
    <w:rsid w:val="00E9397A"/>
    <w:rsid w:val="00EB1BBD"/>
    <w:rsid w:val="00F2695C"/>
    <w:rsid w:val="00F455A3"/>
    <w:rsid w:val="00F8432D"/>
    <w:rsid w:val="00FD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3269"/>
  <w15:chartTrackingRefBased/>
  <w15:docId w15:val="{5536D569-1DB7-42E0-8B98-E3675E7C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Cordes</dc:creator>
  <cp:keywords/>
  <dc:description/>
  <cp:lastModifiedBy>Marc Cordes</cp:lastModifiedBy>
  <cp:revision>18</cp:revision>
  <dcterms:created xsi:type="dcterms:W3CDTF">2018-04-06T18:01:00Z</dcterms:created>
  <dcterms:modified xsi:type="dcterms:W3CDTF">2018-04-06T23:30:00Z</dcterms:modified>
</cp:coreProperties>
</file>